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C" w:rsidRDefault="009D79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ОГОВОР</w:t>
      </w:r>
      <w:r>
        <w:rPr>
          <w:rFonts w:ascii="Times New Roman" w:hAnsi="Times New Roman"/>
          <w:b/>
          <w:sz w:val="28"/>
          <w:szCs w:val="28"/>
        </w:rPr>
        <w:t xml:space="preserve"> № БР 19/______</w:t>
      </w:r>
    </w:p>
    <w:p w:rsidR="006002AC" w:rsidRDefault="009D79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возмездного оказания услуг</w:t>
      </w:r>
    </w:p>
    <w:p w:rsidR="006002AC" w:rsidRDefault="00600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8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4686"/>
        <w:gridCol w:w="4772"/>
      </w:tblGrid>
      <w:tr w:rsidR="006002AC">
        <w:tc>
          <w:tcPr>
            <w:tcW w:w="4686" w:type="dxa"/>
          </w:tcPr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Супонево, Брянского р-на</w:t>
            </w:r>
          </w:p>
        </w:tc>
        <w:tc>
          <w:tcPr>
            <w:tcW w:w="4772" w:type="dxa"/>
          </w:tcPr>
          <w:p w:rsidR="006002AC" w:rsidRDefault="009D79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____________ 2019</w:t>
            </w:r>
          </w:p>
        </w:tc>
      </w:tr>
    </w:tbl>
    <w:p w:rsidR="006002AC" w:rsidRDefault="00600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2AC" w:rsidRDefault="00600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2AC" w:rsidRDefault="009D7924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«Брянская межобластная ветеринарная лаборатория» (ФГБУ «Брянская МВЛ»), именуемое в дальнейшем </w:t>
      </w:r>
      <w:r>
        <w:rPr>
          <w:rFonts w:ascii="Times New Roman" w:hAnsi="Times New Roman"/>
          <w:sz w:val="24"/>
          <w:szCs w:val="24"/>
        </w:rPr>
        <w:t>«Исполнитель», в лице директора Сидорова Ивана Ивановича, действующего на основании Устава ФГБУ «Брянская МВЛ», с одной стороны, и 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 в лице ______________________________________________</w:t>
      </w:r>
      <w:r>
        <w:rPr>
          <w:rFonts w:ascii="Times New Roman" w:hAnsi="Times New Roman"/>
          <w:sz w:val="24"/>
          <w:szCs w:val="24"/>
        </w:rPr>
        <w:t>________________, действующего на основании ________________________, именуемое в дальнейшем «Заказчик», с другой стороны, совместно именуемые «Стороны», заключили настоящий договор (далее - Договор) о нижеследующем.</w:t>
      </w:r>
    </w:p>
    <w:p w:rsidR="006002AC" w:rsidRDefault="006002AC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2AC" w:rsidRDefault="009D792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Заказчик поручае</w:t>
      </w:r>
      <w:r>
        <w:rPr>
          <w:rFonts w:ascii="Times New Roman" w:hAnsi="Times New Roman"/>
          <w:sz w:val="24"/>
          <w:szCs w:val="24"/>
        </w:rPr>
        <w:t>т, а Исполнитель обязуется оказать платные услуги,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согласованные Сторонами в Перечне (ях) платных услуг, который (ые) является (ются) неотъемлемой частью настоящего Договора.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Основанием для оказания Исполнителем заявленных услуг является заявка (заявл</w:t>
      </w:r>
      <w:r>
        <w:rPr>
          <w:rFonts w:ascii="Times New Roman" w:hAnsi="Times New Roman"/>
          <w:sz w:val="24"/>
          <w:szCs w:val="24"/>
        </w:rPr>
        <w:t xml:space="preserve">ение) и (или) акт отбора образцов  (проб)  и (или) сопроводительный документ. 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 (заявление) считается поданной и надлежащим образом оформленной при подаче ее уполномоченным лицом, действующим на основании  уставных документов либо доверенности и</w:t>
      </w:r>
      <w:r>
        <w:rPr>
          <w:rFonts w:ascii="Times New Roman" w:hAnsi="Times New Roman"/>
          <w:sz w:val="24"/>
          <w:szCs w:val="24"/>
        </w:rPr>
        <w:t>ли штатным сотрудником организации.</w:t>
      </w:r>
    </w:p>
    <w:p w:rsidR="006002AC" w:rsidRDefault="00600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2AC" w:rsidRDefault="009D79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Оказывать платные услуги в соответствии с законодательными актами, нормативно-правовыми и методическими документами, действующими на момент оказания услуг</w:t>
      </w:r>
      <w:r>
        <w:rPr>
          <w:rFonts w:ascii="Times New Roman" w:hAnsi="Times New Roman"/>
          <w:sz w:val="24"/>
          <w:szCs w:val="24"/>
        </w:rPr>
        <w:t xml:space="preserve"> и регламентирующими порядок и сроки их проведения, обеспечивая выполнение требований регулирующих органов или организаций, осуществляющих официальное признание и контроль за деятельностью Исполнителя, а также требования Заказчика.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Использовать мето</w:t>
      </w:r>
      <w:r>
        <w:rPr>
          <w:rFonts w:ascii="Times New Roman" w:hAnsi="Times New Roman"/>
          <w:sz w:val="24"/>
          <w:szCs w:val="24"/>
        </w:rPr>
        <w:t>ды исследований, которые отвечают требованиям Заказчика, оценены и пригодны для предпринимаемых исследований.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Ознакамливать Заказчика с используемыми методами исследований и привлекаемыми субисполнителями путем размещения информации на официальном с</w:t>
      </w:r>
      <w:r>
        <w:rPr>
          <w:rFonts w:ascii="Times New Roman" w:hAnsi="Times New Roman"/>
          <w:sz w:val="24"/>
          <w:szCs w:val="24"/>
        </w:rPr>
        <w:t xml:space="preserve">айте Исполнителя в сети интернет по адресу: </w:t>
      </w:r>
      <w:hyperlink r:id="rId9" w:history="1">
        <w:r>
          <w:rPr>
            <w:rFonts w:ascii="Times New Roman" w:hAnsi="Times New Roman"/>
            <w:sz w:val="24"/>
            <w:szCs w:val="24"/>
          </w:rPr>
          <w:t>http://www.bmvl.ru/</w:t>
        </w:r>
      </w:hyperlink>
      <w:r>
        <w:rPr>
          <w:rFonts w:ascii="Times New Roman" w:hAnsi="Times New Roman"/>
          <w:sz w:val="24"/>
          <w:szCs w:val="24"/>
        </w:rPr>
        <w:t>, на информационных стендах Исполнителя или при непосредственном приеме от Заказчика проб (образцов) материалов для лабораторных исследований. При подписании</w:t>
      </w:r>
      <w:r>
        <w:rPr>
          <w:rFonts w:ascii="Times New Roman" w:hAnsi="Times New Roman"/>
          <w:sz w:val="24"/>
          <w:szCs w:val="24"/>
        </w:rPr>
        <w:t xml:space="preserve"> настоящего договора Заказчик выражает свое согласие на привлечение при необходимости субисполнителей для проведения отдельных лабораторных исследований.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Незамедлительно при обнаружении обстоятельств, влекущих невозможность исполнения услуг, оговоре</w:t>
      </w:r>
      <w:r>
        <w:rPr>
          <w:rFonts w:ascii="Times New Roman" w:hAnsi="Times New Roman"/>
          <w:sz w:val="24"/>
          <w:szCs w:val="24"/>
        </w:rPr>
        <w:t>нных в настоящем Договоре и Приложениях к нему, приостановить оказание услуг, сообщить об этом Заказчику и в течение 2 (двух) рабочих дней с момента направления Заказчику сообщения ожидать его указаний. В случае неполучения указаний Заказчика в названный с</w:t>
      </w:r>
      <w:r>
        <w:rPr>
          <w:rFonts w:ascii="Times New Roman" w:hAnsi="Times New Roman"/>
          <w:sz w:val="24"/>
          <w:szCs w:val="24"/>
        </w:rPr>
        <w:t>рок Исполнитель вправе отказаться от оказания услуг и потребовать возмещения фактически понесенных им расходов.</w:t>
      </w:r>
    </w:p>
    <w:p w:rsidR="006002AC" w:rsidRDefault="006002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20"/>
        <w:gridCol w:w="3892"/>
      </w:tblGrid>
      <w:tr w:rsidR="006002AC">
        <w:tc>
          <w:tcPr>
            <w:tcW w:w="3544" w:type="dxa"/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Исполнителя</w:t>
            </w: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Заказчика</w:t>
            </w:r>
          </w:p>
        </w:tc>
      </w:tr>
      <w:tr w:rsidR="006002AC">
        <w:tc>
          <w:tcPr>
            <w:tcW w:w="3544" w:type="dxa"/>
            <w:tcBorders>
              <w:bottom w:val="single" w:sz="4" w:space="0" w:color="auto"/>
            </w:tcBorders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</w:tr>
      <w:tr w:rsidR="006002AC">
        <w:tc>
          <w:tcPr>
            <w:tcW w:w="3544" w:type="dxa"/>
            <w:tcBorders>
              <w:top w:val="single" w:sz="4" w:space="0" w:color="auto"/>
            </w:tcBorders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</w:tr>
    </w:tbl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2.1.5. Передать Заказчику оформленные в установленном порядке результаты оказанных </w:t>
      </w:r>
      <w:r>
        <w:rPr>
          <w:rFonts w:ascii="Times New Roman" w:hAnsi="Times New Roman"/>
          <w:sz w:val="24"/>
          <w:szCs w:val="24"/>
        </w:rPr>
        <w:t>услуг.</w:t>
      </w:r>
    </w:p>
    <w:p w:rsidR="006002AC" w:rsidRDefault="009D7924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Исполнитель вправе:</w:t>
      </w:r>
    </w:p>
    <w:p w:rsidR="006002AC" w:rsidRDefault="009D79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При отсутствии письменного указания Заказчика о требуемых ему методах исследований самостоятельно, с учетом имеющихся соответствующих методов, которые приведены в международных, региональных, национальных стандартах, </w:t>
      </w:r>
      <w:r>
        <w:rPr>
          <w:rFonts w:ascii="Times New Roman" w:hAnsi="Times New Roman"/>
          <w:sz w:val="24"/>
          <w:szCs w:val="24"/>
        </w:rPr>
        <w:t>описаны в научных статьях или журналах, рекомендованы авторитетными техническими организациями, изготовителями оборудования или разработаны Исполнителем,  определять  способы,  методы, оборудование, материалы и иные средства, необходимые для своевременного</w:t>
      </w:r>
      <w:r>
        <w:rPr>
          <w:rFonts w:ascii="Times New Roman" w:hAnsi="Times New Roman"/>
          <w:sz w:val="24"/>
          <w:szCs w:val="24"/>
        </w:rPr>
        <w:t xml:space="preserve"> и качественного оказания услуг.</w:t>
      </w:r>
    </w:p>
    <w:p w:rsidR="006002AC" w:rsidRDefault="009D79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При отсутствии письменного уведомления Заказчика об одобрении или отказе, самостоятельно привлекать к исполнению настоящего Договора иных лиц (субисполнителей) в целях своевременного оказания отдельных услуг. В </w:t>
      </w:r>
      <w:r>
        <w:rPr>
          <w:rFonts w:ascii="Times New Roman" w:hAnsi="Times New Roman"/>
          <w:sz w:val="24"/>
          <w:szCs w:val="24"/>
        </w:rPr>
        <w:t>случае привлечения иных лиц Исполнитель несет перед Заказчиком ответственность за последствия неисполнения или ненадлежащего исполнения обязательств субисполнителем. Заказчик не вправе предъявлять субисполнителю требования, связанные с нарушением последним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002AC" w:rsidRDefault="009D79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Не приступать к оказанию услуг без оплаты Заказчиком заявленных и (или) ранее оказанных услуг.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Заказчик обязуется:</w:t>
      </w:r>
    </w:p>
    <w:p w:rsidR="006002AC" w:rsidRDefault="009D7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беспрепятственный доступ Исполнителя к объектам и (или) материалам Заказчика, обследовани</w:t>
      </w:r>
      <w:r>
        <w:rPr>
          <w:rFonts w:ascii="Times New Roman" w:hAnsi="Times New Roman"/>
          <w:sz w:val="24"/>
          <w:szCs w:val="24"/>
        </w:rPr>
        <w:t>е и осмотр (с отбором проб (образцов)) которых необходим для оказания услуг, предусмотренных настоящим Договором.</w:t>
      </w:r>
    </w:p>
    <w:p w:rsidR="006002AC" w:rsidRDefault="009D7924">
      <w:pPr>
        <w:pStyle w:val="2"/>
        <w:contextualSpacing/>
        <w:rPr>
          <w:bCs/>
          <w:iCs/>
          <w:u w:val="none"/>
        </w:rPr>
      </w:pPr>
      <w:r>
        <w:rPr>
          <w:u w:val="none"/>
        </w:rPr>
        <w:t>2.3.2. Обеспечить самостоятельно или с помощью уполномоченных им лиц с</w:t>
      </w:r>
      <w:r>
        <w:rPr>
          <w:bCs/>
          <w:iCs/>
          <w:u w:val="none"/>
        </w:rPr>
        <w:t>воевременную доставку Исполнителю отобранных и упакованных в соответстви</w:t>
      </w:r>
      <w:r>
        <w:rPr>
          <w:bCs/>
          <w:iCs/>
          <w:u w:val="none"/>
        </w:rPr>
        <w:t>и с действующими нормами и правилами проб (образцов) материалов для лабораторных исследований, с сопроводительными документами (сопроводительное письмо и (или) акт отбора проб) установленного образца.</w:t>
      </w:r>
    </w:p>
    <w:p w:rsidR="006002AC" w:rsidRDefault="009D7924">
      <w:pPr>
        <w:pStyle w:val="2"/>
        <w:contextualSpacing/>
        <w:rPr>
          <w:bCs/>
          <w:iCs/>
          <w:u w:val="none"/>
        </w:rPr>
      </w:pPr>
      <w:r>
        <w:rPr>
          <w:u w:val="none"/>
        </w:rPr>
        <w:t>2.3.3. В течение 5 (пяти) рабочих дней со дня получения</w:t>
      </w:r>
      <w:r>
        <w:rPr>
          <w:u w:val="none"/>
        </w:rPr>
        <w:t xml:space="preserve"> направленного Исполнителем акта об оказании услуг подписать и направить его в адрес Исполнителя, а при наличии возражений сообщить о них в письменной форме Исполнителю. В случае если Заказчик в указанный срок не направит в адрес Исполнителя подписанный ак</w:t>
      </w:r>
      <w:r>
        <w:rPr>
          <w:u w:val="none"/>
        </w:rPr>
        <w:t>т об оказании услуг или не представит претензию относительно оказанных Исполнителем услуг, услуги считаются принятыми Заказчиком и подлежащими оплате.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2.3.4. </w:t>
      </w:r>
      <w:r>
        <w:rPr>
          <w:rFonts w:ascii="Times New Roman" w:hAnsi="Times New Roman"/>
          <w:sz w:val="24"/>
          <w:szCs w:val="24"/>
        </w:rPr>
        <w:t>Оплатить услуги Исполнителя в соответствии с настоящим Договором.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Получить результаты оказа</w:t>
      </w:r>
      <w:r>
        <w:rPr>
          <w:rFonts w:ascii="Times New Roman" w:hAnsi="Times New Roman"/>
          <w:sz w:val="24"/>
          <w:szCs w:val="24"/>
        </w:rPr>
        <w:t xml:space="preserve">нных услуг. Способ получения  результатов оговаривается Заказчиком в заявке (заявлении). 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Неполучение Заказчиком результатов оказанных услуг не является доказательством ненадлежащего исполнения  обязанности по  их передаче со стороны Исполнителя.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 Заказчик вправе: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Требовать у Исполнителя сведения о ходе исполнения Договора.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Присутствовать на определенных участках Исполнителя при проводимых для Заказчика исследованиях, в случае если это допускается действующим у Исполнителя порядком,</w:t>
      </w:r>
      <w:r>
        <w:rPr>
          <w:rFonts w:ascii="Times New Roman" w:hAnsi="Times New Roman"/>
          <w:sz w:val="24"/>
          <w:szCs w:val="24"/>
        </w:rPr>
        <w:t xml:space="preserve"> нормативно-правовыми и методическими документами.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Произвести досрочную оплату услуг Исполнителя авансом по счету.</w:t>
      </w:r>
    </w:p>
    <w:p w:rsidR="006002AC" w:rsidRDefault="009D79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Отказаться от исполнения настоящего Договора при условии оплаты Исполнителю фактически понесенных им расходов.</w:t>
      </w:r>
    </w:p>
    <w:p w:rsidR="006002AC" w:rsidRDefault="006002A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2AC" w:rsidRDefault="006002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2AC" w:rsidRDefault="006002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20"/>
        <w:gridCol w:w="3892"/>
      </w:tblGrid>
      <w:tr w:rsidR="006002AC">
        <w:tc>
          <w:tcPr>
            <w:tcW w:w="3544" w:type="dxa"/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от </w:t>
            </w:r>
            <w:r>
              <w:rPr>
                <w:b/>
                <w:u w:val="none"/>
              </w:rPr>
              <w:t>Исполнителя</w:t>
            </w: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Заказчика</w:t>
            </w:r>
          </w:p>
        </w:tc>
      </w:tr>
      <w:tr w:rsidR="006002AC">
        <w:tc>
          <w:tcPr>
            <w:tcW w:w="3544" w:type="dxa"/>
            <w:tcBorders>
              <w:bottom w:val="single" w:sz="4" w:space="0" w:color="auto"/>
            </w:tcBorders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</w:tr>
      <w:tr w:rsidR="006002AC">
        <w:tc>
          <w:tcPr>
            <w:tcW w:w="3544" w:type="dxa"/>
            <w:tcBorders>
              <w:top w:val="single" w:sz="4" w:space="0" w:color="auto"/>
            </w:tcBorders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</w:tr>
    </w:tbl>
    <w:p w:rsidR="006002AC" w:rsidRDefault="009D792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Стоимость услуг и порядок расчётов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Заказчик оплачивает заявленные (оказанные) услуги в соответствии с действующими у Исполнителя на момент оказания услуг тарифами на платные услуги, или по ценам, согласованным сторонами Протоколом (ами) согласования договорной стоимости платных услуг, </w:t>
      </w:r>
      <w:r>
        <w:rPr>
          <w:rFonts w:ascii="Times New Roman" w:hAnsi="Times New Roman"/>
          <w:sz w:val="24"/>
          <w:szCs w:val="24"/>
        </w:rPr>
        <w:t xml:space="preserve">который (ые) является (ются) неотъемлемой частью настоящего Договора. 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тарифах на услуги, оказываемые Исполнителем, размещены на официальном сайте Исполнителя в сети интернет по адресу: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bmvl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/. </w:t>
      </w:r>
    </w:p>
    <w:p w:rsidR="006002AC" w:rsidRDefault="009D7924">
      <w:pPr>
        <w:spacing w:line="240" w:lineRule="auto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изменения тарифов на услуг</w:t>
      </w:r>
      <w:r>
        <w:rPr>
          <w:rFonts w:ascii="Times New Roman" w:hAnsi="Times New Roman"/>
          <w:sz w:val="24"/>
          <w:szCs w:val="24"/>
        </w:rPr>
        <w:t>и Исполнитель обязуется разместить на указанном сайте соответствующую информацию не менее чем за 20 (двадцать) календарных дней до даты их введения в действие.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 договоренности сторон на основании письменного обращения Заказчика применяются следующие</w:t>
      </w:r>
      <w:r>
        <w:rPr>
          <w:rFonts w:ascii="Times New Roman" w:hAnsi="Times New Roman"/>
          <w:sz w:val="24"/>
          <w:szCs w:val="24"/>
        </w:rPr>
        <w:t xml:space="preserve"> коэффициенты пересчета стоимости оказания услуг:</w:t>
      </w:r>
    </w:p>
    <w:p w:rsidR="006002AC" w:rsidRDefault="006002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2560"/>
      </w:tblGrid>
      <w:tr w:rsidR="006002AC">
        <w:tc>
          <w:tcPr>
            <w:tcW w:w="3119" w:type="dxa"/>
            <w:vAlign w:val="center"/>
          </w:tcPr>
          <w:p w:rsidR="006002AC" w:rsidRDefault="009D7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Учитываемые условия</w:t>
            </w:r>
          </w:p>
        </w:tc>
        <w:tc>
          <w:tcPr>
            <w:tcW w:w="3685" w:type="dxa"/>
            <w:vAlign w:val="center"/>
          </w:tcPr>
          <w:p w:rsidR="006002AC" w:rsidRDefault="009D7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пересчета</w:t>
            </w:r>
          </w:p>
        </w:tc>
        <w:tc>
          <w:tcPr>
            <w:tcW w:w="2560" w:type="dxa"/>
            <w:vAlign w:val="center"/>
          </w:tcPr>
          <w:p w:rsidR="006002AC" w:rsidRDefault="009D79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6002AC" w:rsidRDefault="009D7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пересчета по отношению к тарифам</w:t>
            </w:r>
          </w:p>
        </w:tc>
      </w:tr>
      <w:tr w:rsidR="006002AC">
        <w:tc>
          <w:tcPr>
            <w:tcW w:w="3119" w:type="dxa"/>
          </w:tcPr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Оперативность проведения обследований, осмотров, исследований (испытаний)</w:t>
            </w:r>
          </w:p>
        </w:tc>
        <w:tc>
          <w:tcPr>
            <w:tcW w:w="3685" w:type="dxa"/>
          </w:tcPr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режим (в нерабочее время, в выходные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праздничные дни, внеочередное (срочное) оказание услуг и др.)</w:t>
            </w:r>
          </w:p>
        </w:tc>
        <w:tc>
          <w:tcPr>
            <w:tcW w:w="2560" w:type="dxa"/>
            <w:vAlign w:val="center"/>
          </w:tcPr>
          <w:p w:rsidR="006002AC" w:rsidRDefault="009D7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002AC">
        <w:tc>
          <w:tcPr>
            <w:tcW w:w="3119" w:type="dxa"/>
          </w:tcPr>
          <w:p w:rsidR="006002AC" w:rsidRDefault="009D79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статус 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3685" w:type="dxa"/>
            <w:vAlign w:val="center"/>
          </w:tcPr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Арбитражный анализ</w:t>
            </w:r>
          </w:p>
        </w:tc>
        <w:tc>
          <w:tcPr>
            <w:tcW w:w="2560" w:type="dxa"/>
            <w:vAlign w:val="center"/>
          </w:tcPr>
          <w:p w:rsidR="006002AC" w:rsidRDefault="009D7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Договорной</w:t>
            </w:r>
          </w:p>
        </w:tc>
      </w:tr>
    </w:tbl>
    <w:p w:rsidR="006002AC" w:rsidRDefault="006002A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2AC" w:rsidRDefault="009D79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Основанием для оплаты за заявленные Заказчиком услуги, оказанные Исполнителем услуги, является выставленный Исполнителем </w:t>
      </w:r>
      <w:r>
        <w:rPr>
          <w:rFonts w:ascii="Times New Roman" w:hAnsi="Times New Roman"/>
          <w:sz w:val="24"/>
          <w:szCs w:val="24"/>
        </w:rPr>
        <w:t>счет на оплату (предоплату)  или  акт об оказании услуг. Валюта платежа – российский рубль.</w:t>
      </w:r>
    </w:p>
    <w:p w:rsidR="006002AC" w:rsidRDefault="009D79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Заказчик оплачивает услуги Исполнителя в течение 10 рабочих дней с момента подачи документов, указанных в п.1.2. путём перечисления денежных средств на расчётн</w:t>
      </w:r>
      <w:r>
        <w:rPr>
          <w:rFonts w:ascii="Times New Roman" w:hAnsi="Times New Roman"/>
          <w:sz w:val="24"/>
          <w:szCs w:val="24"/>
        </w:rPr>
        <w:t>ый счёт Исполнителя или внесения денежных средств в кассу Исполнителя. Любая форма оплаты является приемлемой, если она не противоречит действующему законодательству.</w:t>
      </w:r>
    </w:p>
    <w:p w:rsidR="006002AC" w:rsidRDefault="009D79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Обязательство Заказчика по оплате заявленных, оказанных услуг считается исполненным </w:t>
      </w:r>
      <w:r>
        <w:rPr>
          <w:rFonts w:ascii="Times New Roman" w:hAnsi="Times New Roman"/>
          <w:sz w:val="24"/>
          <w:szCs w:val="24"/>
        </w:rPr>
        <w:t>с момента поступления денежных средств на расчетный счет или в кассу Исполнителя.</w:t>
      </w:r>
    </w:p>
    <w:p w:rsidR="006002AC" w:rsidRDefault="009D79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Стороны обязаны ежеквартально производить сверку взаимных расчетов за оказанные услуги и подписывать акты сверки.</w:t>
      </w:r>
    </w:p>
    <w:p w:rsidR="006002AC" w:rsidRDefault="009D79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совершении платежа за оказанные (заявленные) или ранее оказанные (ранее заявленные) услуги, Заказчик обязан указать в платежном поручении в качестве назначения платежа: «Оплата услуг по договору  №….. от…..  по счету № …..  от ……».  </w:t>
      </w:r>
    </w:p>
    <w:p w:rsidR="006002AC" w:rsidRDefault="009D79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 Заказчика имелась задолженность по оплате заявленных до заключения  настоящего договора услуг, Исполнитель имеет право зачесть денежные средства, полученные по настоящему договору, в погашение уже имеющейся у Заказчика задолженности. </w:t>
      </w:r>
    </w:p>
    <w:p w:rsidR="006002AC" w:rsidRDefault="009D79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в пл</w:t>
      </w:r>
      <w:r>
        <w:rPr>
          <w:rFonts w:ascii="Times New Roman" w:hAnsi="Times New Roman"/>
          <w:sz w:val="24"/>
          <w:szCs w:val="24"/>
        </w:rPr>
        <w:t xml:space="preserve">атежном поручении Заказчика не указаны все реквизиты, перечисленные в 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3.7., Исполнитель праве зачесть поступившие денежные средства в счет оплаты за любые ранее оказанные (заявленные) неоплаченные услуги.</w:t>
      </w:r>
    </w:p>
    <w:p w:rsidR="006002AC" w:rsidRDefault="006002A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2AC" w:rsidRDefault="006002A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2AC" w:rsidRDefault="006002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20"/>
        <w:gridCol w:w="3892"/>
      </w:tblGrid>
      <w:tr w:rsidR="006002AC">
        <w:tc>
          <w:tcPr>
            <w:tcW w:w="3544" w:type="dxa"/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Исполнителя</w:t>
            </w: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Заказчика</w:t>
            </w:r>
          </w:p>
        </w:tc>
      </w:tr>
      <w:tr w:rsidR="006002AC">
        <w:tc>
          <w:tcPr>
            <w:tcW w:w="3544" w:type="dxa"/>
            <w:tcBorders>
              <w:bottom w:val="single" w:sz="4" w:space="0" w:color="auto"/>
            </w:tcBorders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</w:tr>
      <w:tr w:rsidR="006002AC">
        <w:tc>
          <w:tcPr>
            <w:tcW w:w="3544" w:type="dxa"/>
            <w:tcBorders>
              <w:top w:val="single" w:sz="4" w:space="0" w:color="auto"/>
            </w:tcBorders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</w:tr>
    </w:tbl>
    <w:p w:rsidR="006002AC" w:rsidRDefault="006002A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2AC" w:rsidRDefault="009D792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Ответственность сторон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своих взаимоотношениях стороны руководствуются нормами действующего законодательства Российской Федерации, строят взаимоотношения на принципах делового партнёрства и взаимной выгоды.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Стороны исходят из взаи</w:t>
      </w:r>
      <w:r>
        <w:rPr>
          <w:rFonts w:ascii="Times New Roman" w:hAnsi="Times New Roman"/>
          <w:sz w:val="24"/>
          <w:szCs w:val="24"/>
        </w:rPr>
        <w:t>мных обязательств по исполнению Договора, взаимного признания и уважения сторон.</w:t>
      </w:r>
    </w:p>
    <w:p w:rsidR="006002AC" w:rsidRDefault="009D7924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 За неисполнение или за ненадлежащее исполнение условий Договора стороны несут ответственность, предусмотренную действующим законодательством Российской Федерации.</w:t>
      </w:r>
    </w:p>
    <w:p w:rsidR="006002AC" w:rsidRDefault="009D7924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 </w:t>
      </w:r>
      <w:r>
        <w:rPr>
          <w:rFonts w:ascii="Times New Roman" w:hAnsi="Times New Roman"/>
          <w:sz w:val="24"/>
          <w:szCs w:val="24"/>
        </w:rPr>
        <w:t>За нарушение сроков оказания Услуг Заказчик вправе требовать с Исполнителя уплаты неустойки (пеней) в размере 0,1 процента от стоимости не оказанных в срок Услуг за каждый день просрочки.</w:t>
      </w:r>
    </w:p>
    <w:p w:rsidR="006002AC" w:rsidRDefault="009D7924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 нарушение сроков оплаты (п.3.4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Договора) Исполнитель вправе тре</w:t>
      </w:r>
      <w:r>
        <w:rPr>
          <w:rFonts w:ascii="Times New Roman" w:hAnsi="Times New Roman"/>
          <w:sz w:val="24"/>
          <w:szCs w:val="24"/>
        </w:rPr>
        <w:t>бовать с Заказчика уплаты неустойки (пеней) в размере 0,1  процента от неуплаченной суммы за каждый день просрочки.</w:t>
      </w:r>
    </w:p>
    <w:p w:rsidR="006002AC" w:rsidRDefault="009D7924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4.5. Стороны освобождаются от ответственности за частичное или полное неисполнение своих обязательств по настоящему Договору, если таковое </w:t>
      </w:r>
      <w:r>
        <w:rPr>
          <w:rFonts w:ascii="Times New Roman" w:hAnsi="Times New Roman"/>
          <w:sz w:val="24"/>
          <w:szCs w:val="24"/>
        </w:rPr>
        <w:t>неисполнение явилось следствием обстоятельств непреодолимой силы (наводнение, пожар, землетрясение, шторм, оседание почвы, эпидемии и иные проявления сил природы, а также война или иные действия, забастовка), повлекших невозможность исполнения настоящего Д</w:t>
      </w:r>
      <w:r>
        <w:rPr>
          <w:rFonts w:ascii="Times New Roman" w:hAnsi="Times New Roman"/>
          <w:sz w:val="24"/>
          <w:szCs w:val="24"/>
        </w:rPr>
        <w:t>оговора.</w:t>
      </w:r>
    </w:p>
    <w:p w:rsidR="006002AC" w:rsidRDefault="009D792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Срок действия договора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Настоящий Договор вступает в силу с момента его подписания и действует в течение </w:t>
      </w:r>
      <w:r>
        <w:rPr>
          <w:rFonts w:ascii="Times New Roman" w:hAnsi="Times New Roman"/>
          <w:b/>
          <w:bCs/>
          <w:sz w:val="24"/>
          <w:szCs w:val="24"/>
        </w:rPr>
        <w:t>2 (двух) лет</w:t>
      </w:r>
      <w:r>
        <w:rPr>
          <w:rFonts w:ascii="Times New Roman" w:hAnsi="Times New Roman"/>
          <w:sz w:val="24"/>
          <w:szCs w:val="24"/>
        </w:rPr>
        <w:t xml:space="preserve">, а в части расчетов до полного исполнения сторонами принятых на себя обязательств. 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Изменения и дополнения в Договор </w:t>
      </w:r>
      <w:r>
        <w:rPr>
          <w:rFonts w:ascii="Times New Roman" w:hAnsi="Times New Roman"/>
          <w:sz w:val="24"/>
          <w:szCs w:val="24"/>
        </w:rPr>
        <w:t>могут быть внесены при взаимном согласии сторон, выраженном в письменной форме.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Стороны вправе досрочно расторгнуть настоящий Договор в одностороннем порядке. В этом случае заинтересованная сторона обязана известить другую сторону письменно не менее ч</w:t>
      </w:r>
      <w:r>
        <w:rPr>
          <w:rFonts w:ascii="Times New Roman" w:hAnsi="Times New Roman"/>
          <w:sz w:val="24"/>
          <w:szCs w:val="24"/>
        </w:rPr>
        <w:t>ем за 30 (тридцать) календарных дней до предполагаемой даты расторжения.</w:t>
      </w:r>
    </w:p>
    <w:p w:rsidR="006002AC" w:rsidRDefault="009D79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досрочного расторжения Договора стороны должны исполнить свои обязательства до даты такового расторжения.</w:t>
      </w:r>
    </w:p>
    <w:p w:rsidR="006002AC" w:rsidRDefault="006002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2AC" w:rsidRDefault="009D79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Конфиденциальность</w:t>
      </w:r>
    </w:p>
    <w:p w:rsidR="006002AC" w:rsidRDefault="009D79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настоящим подтверждают, что</w:t>
      </w:r>
      <w:r>
        <w:rPr>
          <w:rFonts w:ascii="Times New Roman" w:hAnsi="Times New Roman"/>
          <w:sz w:val="24"/>
          <w:szCs w:val="24"/>
        </w:rPr>
        <w:t xml:space="preserve"> информация, которой они обмениваются в рамках подготовки, а также после заключения и в период действия настоящего Договора, в том числе при сборе и вводе данных по исследуемым образцам (пробам) материалов в информационные системы,  при их обработке, хране</w:t>
      </w:r>
      <w:r>
        <w:rPr>
          <w:rFonts w:ascii="Times New Roman" w:hAnsi="Times New Roman"/>
          <w:sz w:val="24"/>
          <w:szCs w:val="24"/>
        </w:rPr>
        <w:t>нии, передаче, носит конфиденциальный характер, являясь ценной для Сторон и не подлежащей разглашению, поскольку составляет служебную и (или) коммерческую тайну, имеет действительную и потенциальную коммерческую ценность в силу ее неизвестности третьим лиц</w:t>
      </w:r>
      <w:r>
        <w:rPr>
          <w:rFonts w:ascii="Times New Roman" w:hAnsi="Times New Roman"/>
          <w:sz w:val="24"/>
          <w:szCs w:val="24"/>
        </w:rPr>
        <w:t>ам.</w:t>
      </w:r>
    </w:p>
    <w:p w:rsidR="006002AC" w:rsidRDefault="009D79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Стороны 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</w:t>
      </w:r>
      <w:r>
        <w:rPr>
          <w:rFonts w:ascii="Times New Roman" w:hAnsi="Times New Roman"/>
          <w:sz w:val="24"/>
          <w:szCs w:val="24"/>
        </w:rPr>
        <w:t xml:space="preserve">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системы. </w:t>
      </w:r>
    </w:p>
    <w:p w:rsidR="006002AC" w:rsidRDefault="006002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20"/>
        <w:gridCol w:w="3892"/>
      </w:tblGrid>
      <w:tr w:rsidR="006002AC">
        <w:tc>
          <w:tcPr>
            <w:tcW w:w="3544" w:type="dxa"/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Исполнителя</w:t>
            </w: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Заказчика</w:t>
            </w:r>
          </w:p>
        </w:tc>
      </w:tr>
      <w:tr w:rsidR="006002AC">
        <w:tc>
          <w:tcPr>
            <w:tcW w:w="3544" w:type="dxa"/>
            <w:tcBorders>
              <w:bottom w:val="single" w:sz="4" w:space="0" w:color="auto"/>
            </w:tcBorders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</w:tr>
      <w:tr w:rsidR="006002AC">
        <w:tc>
          <w:tcPr>
            <w:tcW w:w="3544" w:type="dxa"/>
            <w:tcBorders>
              <w:top w:val="single" w:sz="4" w:space="0" w:color="auto"/>
            </w:tcBorders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1920" w:type="dxa"/>
          </w:tcPr>
          <w:p w:rsidR="006002AC" w:rsidRDefault="006002AC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6002AC" w:rsidRDefault="009D7924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</w:tr>
    </w:tbl>
    <w:p w:rsidR="006002AC" w:rsidRDefault="009D79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Обязательство о соблюдении конфиденциальности и режима коммерческой тайны не затрагивает случаев предоставления информации органам власти в порядке, установленном законодательством Российской Федерации.</w:t>
      </w:r>
    </w:p>
    <w:p w:rsidR="006002AC" w:rsidRDefault="009D79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Обязательства по </w:t>
      </w:r>
      <w:r>
        <w:rPr>
          <w:rFonts w:ascii="Times New Roman" w:hAnsi="Times New Roman"/>
          <w:sz w:val="24"/>
          <w:szCs w:val="24"/>
        </w:rPr>
        <w:t>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6002AC" w:rsidRDefault="006002AC">
      <w:pPr>
        <w:pStyle w:val="ad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02AC" w:rsidRDefault="009D7924">
      <w:pPr>
        <w:tabs>
          <w:tab w:val="left" w:pos="-29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Решение споров</w:t>
      </w:r>
    </w:p>
    <w:p w:rsidR="006002AC" w:rsidRDefault="009D7924">
      <w:pPr>
        <w:tabs>
          <w:tab w:val="left" w:pos="-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Все споры и разногласия, возникающие меж</w:t>
      </w:r>
      <w:r>
        <w:rPr>
          <w:rFonts w:ascii="Times New Roman" w:hAnsi="Times New Roman"/>
          <w:sz w:val="24"/>
          <w:szCs w:val="24"/>
        </w:rPr>
        <w:t>ду Сторонами по настоящему Договору, разрешаются путем переговоров, а при не достижении соглашения – в Арбитражном суде по месту нахождения Исполнителя.</w:t>
      </w:r>
    </w:p>
    <w:p w:rsidR="006002AC" w:rsidRDefault="006002AC">
      <w:pPr>
        <w:tabs>
          <w:tab w:val="left" w:pos="-29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2AC" w:rsidRDefault="009D7924">
      <w:pPr>
        <w:tabs>
          <w:tab w:val="left" w:pos="-29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</w:p>
    <w:p w:rsidR="006002AC" w:rsidRDefault="009D7924">
      <w:pPr>
        <w:tabs>
          <w:tab w:val="left" w:pos="-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уведомления, поручения и сообщения, касающиеся настоящего Договор</w:t>
      </w:r>
      <w:r>
        <w:rPr>
          <w:rFonts w:ascii="Times New Roman" w:hAnsi="Times New Roman"/>
          <w:sz w:val="24"/>
          <w:szCs w:val="24"/>
        </w:rPr>
        <w:t>а или связанные с ним, должны направляться в письменной форме. Они будут считаться поданными надлежащим образом, если посланы заказным письмом, электронной почтой или по телефаксу (с последующей обязательной заменой оригиналом), доставлены нарочным под рас</w:t>
      </w:r>
      <w:r>
        <w:rPr>
          <w:rFonts w:ascii="Times New Roman" w:hAnsi="Times New Roman"/>
          <w:sz w:val="24"/>
          <w:szCs w:val="24"/>
        </w:rPr>
        <w:t>писку по нижеуказанным юридическим адресам сторон. Копия (электронная, факсимильная) подписанного Договора имеет юридическую силу до предоставления оригинала Договора.</w:t>
      </w:r>
    </w:p>
    <w:p w:rsidR="006002AC" w:rsidRDefault="009D7924">
      <w:pPr>
        <w:tabs>
          <w:tab w:val="left" w:pos="-29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Стороны обязуются в письменном виде в течение 10 (десяти) рабочих дней уведомлять д</w:t>
      </w:r>
      <w:r>
        <w:rPr>
          <w:rFonts w:ascii="Times New Roman" w:hAnsi="Times New Roman"/>
          <w:sz w:val="24"/>
          <w:szCs w:val="24"/>
        </w:rPr>
        <w:t>руг друга об изменении своего юридического адреса, почтовых и банковских реквизитов.</w:t>
      </w:r>
    </w:p>
    <w:p w:rsidR="006002AC" w:rsidRDefault="009D7924">
      <w:pPr>
        <w:tabs>
          <w:tab w:val="left" w:pos="-2977"/>
          <w:tab w:val="left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Пробы (образцы) материалов, подвергнутые лабораторным исследованиям, не подлежат возврату.</w:t>
      </w:r>
    </w:p>
    <w:p w:rsidR="006002AC" w:rsidRDefault="009D7924">
      <w:pPr>
        <w:tabs>
          <w:tab w:val="left" w:pos="-2977"/>
          <w:tab w:val="left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Настоящий Договор составлен в 2-х экземплярах, каждый из которых имеет</w:t>
      </w:r>
      <w:r>
        <w:rPr>
          <w:rFonts w:ascii="Times New Roman" w:hAnsi="Times New Roman"/>
          <w:sz w:val="24"/>
          <w:szCs w:val="24"/>
        </w:rPr>
        <w:t xml:space="preserve"> одинаковую юридическую силу.</w:t>
      </w:r>
    </w:p>
    <w:p w:rsidR="006002AC" w:rsidRDefault="006002AC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2AC" w:rsidRDefault="009D792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Юридические адреса, реквизиты и подписи сторон</w:t>
      </w:r>
    </w:p>
    <w:p w:rsidR="006002AC" w:rsidRDefault="006002AC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6002AC">
        <w:tc>
          <w:tcPr>
            <w:tcW w:w="4503" w:type="dxa"/>
          </w:tcPr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и реквизиты Исполнителя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Шоссейная, д. 7, с. Супонево, 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Брянский р-н, Брянская обл., 241520 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(4832) 92-24-84, 92-18-31, 92-99-47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3207000066 КПП 320701001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Брянской области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(ФГБУ «Брянская МВЛ»,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л/с 20276Х11030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041501001 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40501810700012000002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 Отделение Брянск г. Брянск</w:t>
            </w:r>
          </w:p>
        </w:tc>
        <w:tc>
          <w:tcPr>
            <w:tcW w:w="5103" w:type="dxa"/>
          </w:tcPr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и реквизиты Заказчика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002AC" w:rsidRDefault="009D79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6002AC" w:rsidRDefault="006002AC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2AC" w:rsidRDefault="006002AC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911"/>
        <w:gridCol w:w="1074"/>
        <w:gridCol w:w="4585"/>
      </w:tblGrid>
      <w:tr w:rsidR="006002AC">
        <w:tc>
          <w:tcPr>
            <w:tcW w:w="3911" w:type="dxa"/>
          </w:tcPr>
          <w:p w:rsidR="006002AC" w:rsidRDefault="009D7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</w:tc>
        <w:tc>
          <w:tcPr>
            <w:tcW w:w="1074" w:type="dxa"/>
            <w:vMerge w:val="restart"/>
          </w:tcPr>
          <w:p w:rsidR="006002AC" w:rsidRDefault="006002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6002AC" w:rsidRDefault="009D7924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</w:tc>
      </w:tr>
      <w:tr w:rsidR="006002AC">
        <w:tc>
          <w:tcPr>
            <w:tcW w:w="3911" w:type="dxa"/>
            <w:tcBorders>
              <w:bottom w:val="single" w:sz="4" w:space="0" w:color="auto"/>
            </w:tcBorders>
          </w:tcPr>
          <w:p w:rsidR="006002AC" w:rsidRDefault="0060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2AC" w:rsidRDefault="009D7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002AC" w:rsidRDefault="009D7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«Брянская МВЛ»</w:t>
            </w:r>
          </w:p>
        </w:tc>
        <w:tc>
          <w:tcPr>
            <w:tcW w:w="1074" w:type="dxa"/>
            <w:vMerge/>
          </w:tcPr>
          <w:p w:rsidR="006002AC" w:rsidRDefault="006002AC">
            <w:pPr>
              <w:tabs>
                <w:tab w:val="left" w:pos="-68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6002AC" w:rsidRDefault="006002AC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AC">
        <w:tc>
          <w:tcPr>
            <w:tcW w:w="3911" w:type="dxa"/>
            <w:tcBorders>
              <w:top w:val="single" w:sz="4" w:space="0" w:color="auto"/>
            </w:tcBorders>
          </w:tcPr>
          <w:p w:rsidR="006002AC" w:rsidRDefault="006002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002AC" w:rsidRDefault="006002A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6002AC" w:rsidRDefault="009D7924">
            <w:pPr>
              <w:tabs>
                <w:tab w:val="left" w:pos="-87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</w:tr>
      <w:tr w:rsidR="006002AC">
        <w:tc>
          <w:tcPr>
            <w:tcW w:w="3911" w:type="dxa"/>
          </w:tcPr>
          <w:p w:rsidR="006002AC" w:rsidRDefault="006002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002AC" w:rsidRDefault="006002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002AC" w:rsidRDefault="006002AC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AC">
        <w:tc>
          <w:tcPr>
            <w:tcW w:w="3911" w:type="dxa"/>
          </w:tcPr>
          <w:p w:rsidR="006002AC" w:rsidRDefault="006002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002AC" w:rsidRDefault="006002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002AC" w:rsidRDefault="006002AC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AC">
        <w:tc>
          <w:tcPr>
            <w:tcW w:w="3911" w:type="dxa"/>
            <w:tcBorders>
              <w:bottom w:val="single" w:sz="4" w:space="0" w:color="auto"/>
            </w:tcBorders>
          </w:tcPr>
          <w:p w:rsidR="006002AC" w:rsidRDefault="009D79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И.И. Сидоров</w:t>
            </w:r>
          </w:p>
        </w:tc>
        <w:tc>
          <w:tcPr>
            <w:tcW w:w="1074" w:type="dxa"/>
            <w:vMerge/>
          </w:tcPr>
          <w:p w:rsidR="006002AC" w:rsidRDefault="006002AC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6002AC" w:rsidRDefault="009D7924">
            <w:pPr>
              <w:tabs>
                <w:tab w:val="left" w:pos="-8755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                             )                        </w:t>
            </w:r>
          </w:p>
        </w:tc>
      </w:tr>
      <w:tr w:rsidR="006002AC">
        <w:tc>
          <w:tcPr>
            <w:tcW w:w="3911" w:type="dxa"/>
            <w:tcBorders>
              <w:top w:val="single" w:sz="4" w:space="0" w:color="auto"/>
            </w:tcBorders>
          </w:tcPr>
          <w:p w:rsidR="006002AC" w:rsidRDefault="009D7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подпись</w:t>
            </w:r>
          </w:p>
          <w:p w:rsidR="006002AC" w:rsidRDefault="0060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6002AC" w:rsidRDefault="006002A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6002AC" w:rsidRDefault="009D7924">
            <w:pPr>
              <w:tabs>
                <w:tab w:val="left" w:pos="-8755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подпись                                         </w:t>
            </w:r>
          </w:p>
        </w:tc>
      </w:tr>
      <w:tr w:rsidR="006002AC">
        <w:tc>
          <w:tcPr>
            <w:tcW w:w="3911" w:type="dxa"/>
          </w:tcPr>
          <w:p w:rsidR="006002AC" w:rsidRDefault="009D7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М.П.</w:t>
            </w:r>
          </w:p>
        </w:tc>
        <w:tc>
          <w:tcPr>
            <w:tcW w:w="1074" w:type="dxa"/>
            <w:vMerge/>
          </w:tcPr>
          <w:p w:rsidR="006002AC" w:rsidRDefault="006002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585" w:type="dxa"/>
          </w:tcPr>
          <w:p w:rsidR="006002AC" w:rsidRDefault="009D7924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М.П.</w:t>
            </w:r>
          </w:p>
        </w:tc>
      </w:tr>
    </w:tbl>
    <w:p w:rsidR="006002AC" w:rsidRDefault="006002A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11"/>
          <w:szCs w:val="11"/>
        </w:rPr>
      </w:pPr>
    </w:p>
    <w:sectPr w:rsidR="006002AC">
      <w:footerReference w:type="default" r:id="rId10"/>
      <w:pgSz w:w="11906" w:h="16838"/>
      <w:pgMar w:top="850" w:right="851" w:bottom="850" w:left="1701" w:header="284" w:footer="0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24" w:rsidRDefault="009D7924">
      <w:pPr>
        <w:spacing w:after="0" w:line="240" w:lineRule="auto"/>
      </w:pPr>
      <w:r>
        <w:separator/>
      </w:r>
    </w:p>
  </w:endnote>
  <w:endnote w:type="continuationSeparator" w:id="0">
    <w:p w:rsidR="009D7924" w:rsidRDefault="009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AC" w:rsidRDefault="009D792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771">
      <w:rPr>
        <w:noProof/>
      </w:rPr>
      <w:t>1</w:t>
    </w:r>
    <w:r>
      <w:fldChar w:fldCharType="end"/>
    </w:r>
  </w:p>
  <w:p w:rsidR="006002AC" w:rsidRDefault="006002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24" w:rsidRDefault="009D7924">
      <w:pPr>
        <w:spacing w:after="0" w:line="240" w:lineRule="auto"/>
      </w:pPr>
      <w:r>
        <w:separator/>
      </w:r>
    </w:p>
  </w:footnote>
  <w:footnote w:type="continuationSeparator" w:id="0">
    <w:p w:rsidR="009D7924" w:rsidRDefault="009D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136"/>
    <w:multiLevelType w:val="multilevel"/>
    <w:tmpl w:val="0FD05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D4"/>
    <w:rsid w:val="000010B8"/>
    <w:rsid w:val="00007595"/>
    <w:rsid w:val="000178E7"/>
    <w:rsid w:val="000327D6"/>
    <w:rsid w:val="00065B68"/>
    <w:rsid w:val="00065F59"/>
    <w:rsid w:val="00080DA8"/>
    <w:rsid w:val="000826EA"/>
    <w:rsid w:val="0009209E"/>
    <w:rsid w:val="00097A8E"/>
    <w:rsid w:val="000A7B33"/>
    <w:rsid w:val="000C0916"/>
    <w:rsid w:val="000D0BEC"/>
    <w:rsid w:val="000D5AB5"/>
    <w:rsid w:val="000E2E6E"/>
    <w:rsid w:val="000F5E44"/>
    <w:rsid w:val="000F7418"/>
    <w:rsid w:val="0010205E"/>
    <w:rsid w:val="00105567"/>
    <w:rsid w:val="00117A1F"/>
    <w:rsid w:val="001347F3"/>
    <w:rsid w:val="00141553"/>
    <w:rsid w:val="001500E0"/>
    <w:rsid w:val="001672A6"/>
    <w:rsid w:val="0017340F"/>
    <w:rsid w:val="00181394"/>
    <w:rsid w:val="00185AF6"/>
    <w:rsid w:val="0018674D"/>
    <w:rsid w:val="001916F6"/>
    <w:rsid w:val="001B531F"/>
    <w:rsid w:val="001C53E9"/>
    <w:rsid w:val="001E51F7"/>
    <w:rsid w:val="00203EB1"/>
    <w:rsid w:val="00213AA3"/>
    <w:rsid w:val="00220F72"/>
    <w:rsid w:val="00240487"/>
    <w:rsid w:val="00257320"/>
    <w:rsid w:val="002627E7"/>
    <w:rsid w:val="00292780"/>
    <w:rsid w:val="002976C1"/>
    <w:rsid w:val="002A6C78"/>
    <w:rsid w:val="002B1FDB"/>
    <w:rsid w:val="002B2106"/>
    <w:rsid w:val="002D0763"/>
    <w:rsid w:val="002D60F0"/>
    <w:rsid w:val="002D6C26"/>
    <w:rsid w:val="002D74E7"/>
    <w:rsid w:val="002E0A20"/>
    <w:rsid w:val="002E5770"/>
    <w:rsid w:val="002F58FE"/>
    <w:rsid w:val="00332B8E"/>
    <w:rsid w:val="00357367"/>
    <w:rsid w:val="003669E2"/>
    <w:rsid w:val="00371C86"/>
    <w:rsid w:val="00386F99"/>
    <w:rsid w:val="0039054A"/>
    <w:rsid w:val="003B00B9"/>
    <w:rsid w:val="003C21FB"/>
    <w:rsid w:val="003C4D10"/>
    <w:rsid w:val="003C71FA"/>
    <w:rsid w:val="003D6729"/>
    <w:rsid w:val="00400A97"/>
    <w:rsid w:val="004067DB"/>
    <w:rsid w:val="00426569"/>
    <w:rsid w:val="004279C4"/>
    <w:rsid w:val="00436805"/>
    <w:rsid w:val="00446870"/>
    <w:rsid w:val="004B342D"/>
    <w:rsid w:val="004B52B9"/>
    <w:rsid w:val="004E5292"/>
    <w:rsid w:val="004F05C0"/>
    <w:rsid w:val="00511B78"/>
    <w:rsid w:val="0053028D"/>
    <w:rsid w:val="00537CD4"/>
    <w:rsid w:val="00573EE1"/>
    <w:rsid w:val="005A1CCD"/>
    <w:rsid w:val="005A4B85"/>
    <w:rsid w:val="005A6A3E"/>
    <w:rsid w:val="005B3CA3"/>
    <w:rsid w:val="005D1D1A"/>
    <w:rsid w:val="006002AC"/>
    <w:rsid w:val="00616477"/>
    <w:rsid w:val="00626456"/>
    <w:rsid w:val="00634A81"/>
    <w:rsid w:val="00634CE8"/>
    <w:rsid w:val="00644318"/>
    <w:rsid w:val="00657684"/>
    <w:rsid w:val="00664C11"/>
    <w:rsid w:val="006842EB"/>
    <w:rsid w:val="006906C1"/>
    <w:rsid w:val="00691A6B"/>
    <w:rsid w:val="006C5196"/>
    <w:rsid w:val="006D2FD2"/>
    <w:rsid w:val="006D4046"/>
    <w:rsid w:val="00715FFF"/>
    <w:rsid w:val="007336FB"/>
    <w:rsid w:val="00740125"/>
    <w:rsid w:val="00744AAF"/>
    <w:rsid w:val="00753210"/>
    <w:rsid w:val="00781861"/>
    <w:rsid w:val="00783AC0"/>
    <w:rsid w:val="0079026B"/>
    <w:rsid w:val="00794B6D"/>
    <w:rsid w:val="007B5508"/>
    <w:rsid w:val="007C1011"/>
    <w:rsid w:val="007D4EFA"/>
    <w:rsid w:val="007E6B43"/>
    <w:rsid w:val="00832B82"/>
    <w:rsid w:val="00834953"/>
    <w:rsid w:val="008469FF"/>
    <w:rsid w:val="00864555"/>
    <w:rsid w:val="008652EF"/>
    <w:rsid w:val="008837FD"/>
    <w:rsid w:val="008C502B"/>
    <w:rsid w:val="008D4DC7"/>
    <w:rsid w:val="008D54CB"/>
    <w:rsid w:val="009168FB"/>
    <w:rsid w:val="00924FE5"/>
    <w:rsid w:val="00946A30"/>
    <w:rsid w:val="00951B2E"/>
    <w:rsid w:val="009A0C7E"/>
    <w:rsid w:val="009A10F5"/>
    <w:rsid w:val="009A242B"/>
    <w:rsid w:val="009C1B78"/>
    <w:rsid w:val="009D233B"/>
    <w:rsid w:val="009D4E59"/>
    <w:rsid w:val="009D72BB"/>
    <w:rsid w:val="009D7924"/>
    <w:rsid w:val="009F0DFB"/>
    <w:rsid w:val="009F44FF"/>
    <w:rsid w:val="00A123A3"/>
    <w:rsid w:val="00A17474"/>
    <w:rsid w:val="00A33CFE"/>
    <w:rsid w:val="00A50202"/>
    <w:rsid w:val="00A529E1"/>
    <w:rsid w:val="00A62CD8"/>
    <w:rsid w:val="00A65306"/>
    <w:rsid w:val="00A6647A"/>
    <w:rsid w:val="00A671D5"/>
    <w:rsid w:val="00A80CB8"/>
    <w:rsid w:val="00A91FE6"/>
    <w:rsid w:val="00A965D0"/>
    <w:rsid w:val="00AA706A"/>
    <w:rsid w:val="00AC3AD6"/>
    <w:rsid w:val="00AE6988"/>
    <w:rsid w:val="00AE6E77"/>
    <w:rsid w:val="00AE7B56"/>
    <w:rsid w:val="00AF0771"/>
    <w:rsid w:val="00AF624B"/>
    <w:rsid w:val="00B05C3D"/>
    <w:rsid w:val="00B11712"/>
    <w:rsid w:val="00B24661"/>
    <w:rsid w:val="00B37BF1"/>
    <w:rsid w:val="00B451F1"/>
    <w:rsid w:val="00B823E1"/>
    <w:rsid w:val="00B82908"/>
    <w:rsid w:val="00B82C12"/>
    <w:rsid w:val="00B90817"/>
    <w:rsid w:val="00BA6D18"/>
    <w:rsid w:val="00BB1F4F"/>
    <w:rsid w:val="00BC6376"/>
    <w:rsid w:val="00BD1857"/>
    <w:rsid w:val="00BF6A86"/>
    <w:rsid w:val="00C326EA"/>
    <w:rsid w:val="00C447FD"/>
    <w:rsid w:val="00C60E0D"/>
    <w:rsid w:val="00C62A67"/>
    <w:rsid w:val="00C63BCD"/>
    <w:rsid w:val="00C7207F"/>
    <w:rsid w:val="00C92871"/>
    <w:rsid w:val="00CB00FD"/>
    <w:rsid w:val="00CF036B"/>
    <w:rsid w:val="00CF113D"/>
    <w:rsid w:val="00CF3346"/>
    <w:rsid w:val="00CF6CBC"/>
    <w:rsid w:val="00D010DD"/>
    <w:rsid w:val="00D0168D"/>
    <w:rsid w:val="00D246CC"/>
    <w:rsid w:val="00D42C67"/>
    <w:rsid w:val="00D4518B"/>
    <w:rsid w:val="00D52B96"/>
    <w:rsid w:val="00D6659D"/>
    <w:rsid w:val="00DA4510"/>
    <w:rsid w:val="00DC5483"/>
    <w:rsid w:val="00DD2774"/>
    <w:rsid w:val="00E015E1"/>
    <w:rsid w:val="00E06E91"/>
    <w:rsid w:val="00E16DC9"/>
    <w:rsid w:val="00E35A63"/>
    <w:rsid w:val="00E42457"/>
    <w:rsid w:val="00E47EB5"/>
    <w:rsid w:val="00E667A8"/>
    <w:rsid w:val="00E74202"/>
    <w:rsid w:val="00E95D46"/>
    <w:rsid w:val="00EA6922"/>
    <w:rsid w:val="00EB4B46"/>
    <w:rsid w:val="00EC5321"/>
    <w:rsid w:val="00F37482"/>
    <w:rsid w:val="00F47488"/>
    <w:rsid w:val="00F51ECA"/>
    <w:rsid w:val="00F572A4"/>
    <w:rsid w:val="00F57C40"/>
    <w:rsid w:val="00F90047"/>
    <w:rsid w:val="00F93411"/>
    <w:rsid w:val="00F962BF"/>
    <w:rsid w:val="00FB53DB"/>
    <w:rsid w:val="00FB6C8B"/>
    <w:rsid w:val="00FC1B0E"/>
    <w:rsid w:val="00FD1487"/>
    <w:rsid w:val="00FD54B1"/>
    <w:rsid w:val="00FD57DA"/>
    <w:rsid w:val="00FE2821"/>
    <w:rsid w:val="00FE60E4"/>
    <w:rsid w:val="00FF687C"/>
    <w:rsid w:val="36D17EA1"/>
    <w:rsid w:val="430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CBA3-1E3F-4DE0-BB43-42ABD74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pPr>
      <w:spacing w:after="0" w:line="270" w:lineRule="atLeast"/>
    </w:pPr>
    <w:rPr>
      <w:rFonts w:ascii="Arial" w:hAnsi="Arial" w:cs="Arial"/>
      <w:color w:val="5C0942"/>
      <w:sz w:val="18"/>
      <w:szCs w:val="18"/>
    </w:rPr>
  </w:style>
  <w:style w:type="paragraph" w:styleId="2">
    <w:name w:val="Body Text Indent 2"/>
    <w:basedOn w:val="a"/>
    <w:link w:val="2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u w:val="single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</w:style>
  <w:style w:type="character" w:customStyle="1" w:styleId="a4">
    <w:name w:val="Текст выноски Знак"/>
    <w:link w:val="a3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m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4D442-48A8-4979-B8EE-89344079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2018-12-14T07:16:00Z</cp:lastPrinted>
  <dcterms:created xsi:type="dcterms:W3CDTF">2019-03-21T15:26:00Z</dcterms:created>
  <dcterms:modified xsi:type="dcterms:W3CDTF">2019-03-21T15:26:00Z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